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2EF" w:rsidRDefault="001632EF" w:rsidP="001632EF">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GANADERIA</w:t>
      </w:r>
    </w:p>
    <w:p w:rsidR="00FC22E1" w:rsidRDefault="00FC22E1" w:rsidP="001632EF">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 xml:space="preserve">Fuente consultada: </w:t>
      </w:r>
      <w:hyperlink r:id="rId4" w:history="1">
        <w:r w:rsidRPr="00F75A5F">
          <w:rPr>
            <w:rStyle w:val="Hipervnculo"/>
            <w:rFonts w:ascii="Verdana" w:hAnsi="Verdana"/>
            <w:b/>
            <w:bCs/>
            <w:sz w:val="18"/>
            <w:szCs w:val="18"/>
          </w:rPr>
          <w:t>www.infoleg.gov.ar</w:t>
        </w:r>
      </w:hyperlink>
    </w:p>
    <w:p w:rsidR="00FC22E1" w:rsidRDefault="00FC22E1" w:rsidP="001632EF">
      <w:pPr>
        <w:pStyle w:val="NormalWeb"/>
        <w:spacing w:before="150" w:beforeAutospacing="0" w:after="300" w:afterAutospacing="0"/>
        <w:ind w:left="600" w:right="600"/>
        <w:rPr>
          <w:rFonts w:ascii="Verdana" w:hAnsi="Verdana"/>
          <w:b/>
          <w:bCs/>
          <w:color w:val="000000"/>
          <w:sz w:val="18"/>
          <w:szCs w:val="18"/>
        </w:rPr>
      </w:pPr>
      <w:bookmarkStart w:id="0" w:name="_GoBack"/>
      <w:bookmarkEnd w:id="0"/>
    </w:p>
    <w:p w:rsidR="001632EF" w:rsidRDefault="001632EF" w:rsidP="001632EF">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LEY Nº 22.939</w:t>
      </w:r>
    </w:p>
    <w:p w:rsidR="001632EF" w:rsidRDefault="001632EF" w:rsidP="001632EF">
      <w:pPr>
        <w:pStyle w:val="NormalWeb"/>
        <w:spacing w:before="150" w:beforeAutospacing="0" w:after="300" w:afterAutospacing="0"/>
        <w:ind w:left="600" w:right="600"/>
        <w:rPr>
          <w:rFonts w:ascii="Verdana" w:hAnsi="Verdana"/>
          <w:b/>
          <w:bCs/>
          <w:color w:val="000000"/>
          <w:sz w:val="18"/>
          <w:szCs w:val="18"/>
        </w:rPr>
      </w:pPr>
      <w:proofErr w:type="spellStart"/>
      <w:r>
        <w:rPr>
          <w:rFonts w:ascii="Verdana" w:hAnsi="Verdana"/>
          <w:b/>
          <w:bCs/>
          <w:color w:val="000000"/>
          <w:sz w:val="18"/>
          <w:szCs w:val="18"/>
        </w:rPr>
        <w:t>Uníficase</w:t>
      </w:r>
      <w:proofErr w:type="spellEnd"/>
      <w:r>
        <w:rPr>
          <w:rFonts w:ascii="Verdana" w:hAnsi="Verdana"/>
          <w:b/>
          <w:bCs/>
          <w:color w:val="000000"/>
          <w:sz w:val="18"/>
          <w:szCs w:val="18"/>
        </w:rPr>
        <w:t xml:space="preserve"> para todo el país el régimen de marcas y señales, certificados y guías.</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Buenos Aires, 6 de octubre de 1983.</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EN uso de las atribuciones conferidas por el Artículo 5º del Estatuto para el Proceso de Reorganización Nacional,</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PRESIDENTE DE LA NACIÓN ARGENTINA</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SANCIONA Y PROMULGA CON FUERZA DE LEY:</w:t>
      </w:r>
    </w:p>
    <w:p w:rsidR="001632EF" w:rsidRDefault="001632EF" w:rsidP="001632EF">
      <w:pPr>
        <w:pStyle w:val="NormalWeb"/>
        <w:spacing w:before="150" w:beforeAutospacing="0" w:after="300" w:afterAutospacing="0"/>
        <w:ind w:left="600" w:right="600"/>
        <w:jc w:val="center"/>
        <w:rPr>
          <w:rFonts w:ascii="Verdana" w:hAnsi="Verdana"/>
          <w:color w:val="000000"/>
          <w:sz w:val="18"/>
          <w:szCs w:val="18"/>
        </w:rPr>
      </w:pPr>
      <w:r>
        <w:rPr>
          <w:rFonts w:ascii="Verdana" w:hAnsi="Verdana"/>
          <w:b/>
          <w:bCs/>
          <w:color w:val="000000"/>
          <w:sz w:val="18"/>
          <w:szCs w:val="18"/>
        </w:rPr>
        <w:t>TITULO I - DE LAS MARCAS Y SEÑALES DEL GANADO EN GENERAL Y DE LOS MEDIOS ALTERNATIVOS DE IDENTIFICACIÓN ANIMAL PARA LA ESPECIE PORCINA.</w:t>
      </w:r>
      <w:r>
        <w:rPr>
          <w:rStyle w:val="apple-converted-space"/>
          <w:rFonts w:ascii="Verdana" w:hAnsi="Verdana"/>
          <w:color w:val="000000"/>
          <w:sz w:val="18"/>
          <w:szCs w:val="18"/>
        </w:rPr>
        <w:t> </w:t>
      </w:r>
      <w:r>
        <w:rPr>
          <w:rFonts w:ascii="Verdana" w:hAnsi="Verdana"/>
          <w:i/>
          <w:iCs/>
          <w:color w:val="000000"/>
          <w:sz w:val="18"/>
          <w:szCs w:val="18"/>
        </w:rPr>
        <w:t>(Título sustituido por art. 1° de la</w:t>
      </w:r>
      <w:r>
        <w:rPr>
          <w:rStyle w:val="apple-converted-space"/>
          <w:rFonts w:ascii="Verdana" w:hAnsi="Verdana"/>
          <w:i/>
          <w:iCs/>
          <w:color w:val="000000"/>
          <w:sz w:val="18"/>
          <w:szCs w:val="18"/>
        </w:rPr>
        <w:t> </w:t>
      </w:r>
      <w:hyperlink r:id="rId5" w:history="1">
        <w:r>
          <w:rPr>
            <w:rStyle w:val="Hipervnculo"/>
            <w:rFonts w:ascii="Verdana" w:hAnsi="Verdana"/>
            <w:i/>
            <w:iCs/>
            <w:sz w:val="18"/>
            <w:szCs w:val="18"/>
          </w:rPr>
          <w:t>Ley N° 26.478</w:t>
        </w:r>
      </w:hyperlink>
      <w:r>
        <w:rPr>
          <w:rStyle w:val="apple-converted-space"/>
          <w:rFonts w:ascii="Verdana" w:hAnsi="Verdana"/>
          <w:i/>
          <w:iCs/>
          <w:color w:val="000000"/>
          <w:sz w:val="18"/>
          <w:szCs w:val="18"/>
        </w:rPr>
        <w:t> </w:t>
      </w:r>
      <w:r>
        <w:rPr>
          <w:rFonts w:ascii="Verdana" w:hAnsi="Verdana"/>
          <w:i/>
          <w:iCs/>
          <w:color w:val="000000"/>
          <w:sz w:val="18"/>
          <w:szCs w:val="18"/>
        </w:rPr>
        <w:t>B.O. 1/4/2009)</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1º —</w:t>
      </w:r>
      <w:r>
        <w:rPr>
          <w:rStyle w:val="apple-converted-space"/>
          <w:rFonts w:ascii="Verdana" w:hAnsi="Verdana"/>
          <w:color w:val="000000"/>
          <w:sz w:val="18"/>
          <w:szCs w:val="18"/>
        </w:rPr>
        <w:t> </w:t>
      </w:r>
      <w:r>
        <w:rPr>
          <w:rFonts w:ascii="Verdana" w:hAnsi="Verdana"/>
          <w:color w:val="000000"/>
          <w:sz w:val="18"/>
          <w:szCs w:val="18"/>
        </w:rPr>
        <w:t>La marca es la impresión que se efectúa sobre el animal de un dibujo o diseño, por medio de hierro candente, de marcación en frío, o de cualquier otro procedimiento que asegure la permanencia en forma clara e indeleble que autorice la Secretaría de Agricultura, Ganadería, Pesca y Alimentos del Ministerio de Economía y Producción.</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señal es un corte, o incisión, o perforación, o grabación hecha a fuego, en la oreja del animal.</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caravana es un dispositivo que se coloca en la oreja del animal mediante la perforación de la membrana auricular.</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tatuaje es la impresión en la piel del animal de números y/o letras mediante el uso de puntas aguzadas, con o sin tinta.</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El implante es un dispositivo electrónico de radiofrecuencia que se coloca en el interior del animal.</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La autoridad de aplicación podrá incorporar otros medios de identificación que por su tecnología y funcionalidad sean considerados apropiados para la identificación del ganado.</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2° de la</w:t>
      </w:r>
      <w:r>
        <w:rPr>
          <w:rStyle w:val="apple-converted-space"/>
          <w:rFonts w:ascii="Verdana" w:hAnsi="Verdana"/>
          <w:i/>
          <w:iCs/>
          <w:color w:val="000000"/>
          <w:sz w:val="18"/>
          <w:szCs w:val="18"/>
        </w:rPr>
        <w:t> </w:t>
      </w:r>
      <w:hyperlink r:id="rId6" w:history="1">
        <w:r>
          <w:rPr>
            <w:rStyle w:val="Hipervnculo"/>
            <w:rFonts w:ascii="Verdana" w:hAnsi="Verdana"/>
            <w:i/>
            <w:iCs/>
            <w:sz w:val="18"/>
            <w:szCs w:val="18"/>
          </w:rPr>
          <w:t>Ley N° 26.478</w:t>
        </w:r>
      </w:hyperlink>
      <w:r>
        <w:rPr>
          <w:rStyle w:val="apple-converted-space"/>
          <w:rFonts w:ascii="Verdana" w:hAnsi="Verdana"/>
          <w:i/>
          <w:iCs/>
          <w:color w:val="000000"/>
          <w:sz w:val="18"/>
          <w:szCs w:val="18"/>
        </w:rPr>
        <w:t> </w:t>
      </w:r>
      <w:r>
        <w:rPr>
          <w:rFonts w:ascii="Verdana" w:hAnsi="Verdana"/>
          <w:i/>
          <w:iCs/>
          <w:color w:val="000000"/>
          <w:sz w:val="18"/>
          <w:szCs w:val="18"/>
        </w:rPr>
        <w:t>B.O. 1/4/2009)</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2º —</w:t>
      </w:r>
      <w:r>
        <w:rPr>
          <w:rStyle w:val="apple-converted-space"/>
          <w:rFonts w:ascii="Verdana" w:hAnsi="Verdana"/>
          <w:color w:val="000000"/>
          <w:sz w:val="18"/>
          <w:szCs w:val="18"/>
        </w:rPr>
        <w:t> </w:t>
      </w:r>
      <w:r>
        <w:rPr>
          <w:rFonts w:ascii="Verdana" w:hAnsi="Verdana"/>
          <w:color w:val="000000"/>
          <w:sz w:val="18"/>
          <w:szCs w:val="18"/>
        </w:rPr>
        <w:t>Para obtener el registro del diseño de una marca, señal o medio alternativo de identificación propuesto exclusivamente para la especie porcina, deberá cumplirse con las formalidades establecidas en cada provincia.</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autoridad de aplicación establecerá las características técnicas a las que deberá ajustarse cada medio de identificación establecido en el artículo anterior.</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3° de la</w:t>
      </w:r>
      <w:r>
        <w:rPr>
          <w:rStyle w:val="apple-converted-space"/>
          <w:rFonts w:ascii="Verdana" w:hAnsi="Verdana"/>
          <w:i/>
          <w:iCs/>
          <w:color w:val="000000"/>
          <w:sz w:val="18"/>
          <w:szCs w:val="18"/>
        </w:rPr>
        <w:t> </w:t>
      </w:r>
      <w:hyperlink r:id="rId7" w:history="1">
        <w:r>
          <w:rPr>
            <w:rStyle w:val="Hipervnculo"/>
            <w:rFonts w:ascii="Verdana" w:hAnsi="Verdana"/>
            <w:i/>
            <w:iCs/>
            <w:sz w:val="18"/>
            <w:szCs w:val="18"/>
          </w:rPr>
          <w:t>Ley N° 26.478</w:t>
        </w:r>
      </w:hyperlink>
      <w:r>
        <w:rPr>
          <w:rStyle w:val="apple-converted-space"/>
          <w:rFonts w:ascii="Verdana" w:hAnsi="Verdana"/>
          <w:i/>
          <w:iCs/>
          <w:color w:val="000000"/>
          <w:sz w:val="18"/>
          <w:szCs w:val="18"/>
        </w:rPr>
        <w:t> </w:t>
      </w:r>
      <w:r>
        <w:rPr>
          <w:rFonts w:ascii="Verdana" w:hAnsi="Verdana"/>
          <w:i/>
          <w:iCs/>
          <w:color w:val="000000"/>
          <w:sz w:val="18"/>
          <w:szCs w:val="18"/>
        </w:rPr>
        <w:t>B.O. 1/4/2009)</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3º —</w:t>
      </w:r>
      <w:r>
        <w:rPr>
          <w:rStyle w:val="apple-converted-space"/>
          <w:rFonts w:ascii="Verdana" w:hAnsi="Verdana"/>
          <w:color w:val="000000"/>
          <w:sz w:val="18"/>
          <w:szCs w:val="18"/>
        </w:rPr>
        <w:t> </w:t>
      </w:r>
      <w:r>
        <w:rPr>
          <w:rFonts w:ascii="Verdana" w:hAnsi="Verdana"/>
          <w:color w:val="000000"/>
          <w:sz w:val="18"/>
          <w:szCs w:val="18"/>
        </w:rPr>
        <w:t>No se admitirá el registro de diseños de marcas iguales, o que pudieran confundirse entre sí dentro del ámbito territorial de una misma provincia. Se comprenden en esta disposición las que presenten un diseño idéntico o semejante, y aquellas en las que uno de los diseños, al superponerse a otro, lo cubriera en todas sus partes.</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Si estuviesen ya registradas en una misma provincia marcas iguales o susceptibles de ser confundidas entre sí, el titular de la más reciente deberá modificarla en la forma que le indique el organismo de aplicación local, dentro del plazo de noventa (90) días de recibir la comunicación formal al efecto, la que se hará bajo apercibimiento de caducidad del registro respectivo.</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4° de la</w:t>
      </w:r>
      <w:r>
        <w:rPr>
          <w:rStyle w:val="apple-converted-space"/>
          <w:rFonts w:ascii="Verdana" w:hAnsi="Verdana"/>
          <w:i/>
          <w:iCs/>
          <w:color w:val="000000"/>
          <w:sz w:val="18"/>
          <w:szCs w:val="18"/>
        </w:rPr>
        <w:t> </w:t>
      </w:r>
      <w:hyperlink r:id="rId8" w:history="1">
        <w:r>
          <w:rPr>
            <w:rStyle w:val="Hipervnculo"/>
            <w:rFonts w:ascii="Verdana" w:hAnsi="Verdana"/>
            <w:i/>
            <w:iCs/>
            <w:sz w:val="18"/>
            <w:szCs w:val="18"/>
          </w:rPr>
          <w:t>Ley N° 26.478</w:t>
        </w:r>
      </w:hyperlink>
      <w:r>
        <w:rPr>
          <w:rStyle w:val="apple-converted-space"/>
          <w:rFonts w:ascii="Verdana" w:hAnsi="Verdana"/>
          <w:i/>
          <w:iCs/>
          <w:color w:val="000000"/>
          <w:sz w:val="18"/>
          <w:szCs w:val="18"/>
        </w:rPr>
        <w:t> </w:t>
      </w:r>
      <w:r>
        <w:rPr>
          <w:rFonts w:ascii="Verdana" w:hAnsi="Verdana"/>
          <w:i/>
          <w:iCs/>
          <w:color w:val="000000"/>
          <w:sz w:val="18"/>
          <w:szCs w:val="18"/>
        </w:rPr>
        <w:t>B.O. 1/4/2009)</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4º —</w:t>
      </w:r>
      <w:r>
        <w:rPr>
          <w:rStyle w:val="apple-converted-space"/>
          <w:rFonts w:ascii="Verdana" w:hAnsi="Verdana"/>
          <w:color w:val="000000"/>
          <w:sz w:val="18"/>
          <w:szCs w:val="18"/>
        </w:rPr>
        <w:t> </w:t>
      </w:r>
      <w:r>
        <w:rPr>
          <w:rFonts w:ascii="Verdana" w:hAnsi="Verdana"/>
          <w:color w:val="000000"/>
          <w:sz w:val="18"/>
          <w:szCs w:val="18"/>
        </w:rPr>
        <w:t>El registro del diseño de las marcas y señales del ganado en general y de los medios alternativos de identificación propuestos exclusivamente para la especie porcina confiere a su titular el derecho de uso exclusivo por el plazo que las respectivas legislaciones provinciales establezcan, pudiendo ser prorrogado de acuerdo con lo que dichas normas dispongan. Este derecho es transmisible y se prueba con el título expedido por la autoridad competente, y en su defecto por las constancias registrales. En los casos de transmisión, deberán efectuarse en el registro las anotaciones respectivas.</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5° de la</w:t>
      </w:r>
      <w:r>
        <w:rPr>
          <w:rStyle w:val="apple-converted-space"/>
          <w:rFonts w:ascii="Verdana" w:hAnsi="Verdana"/>
          <w:i/>
          <w:iCs/>
          <w:color w:val="000000"/>
          <w:sz w:val="18"/>
          <w:szCs w:val="18"/>
        </w:rPr>
        <w:t> </w:t>
      </w:r>
      <w:hyperlink r:id="rId9" w:history="1">
        <w:r>
          <w:rPr>
            <w:rStyle w:val="Hipervnculo"/>
            <w:rFonts w:ascii="Verdana" w:hAnsi="Verdana"/>
            <w:i/>
            <w:iCs/>
            <w:sz w:val="18"/>
            <w:szCs w:val="18"/>
          </w:rPr>
          <w:t>Ley N° 26.478</w:t>
        </w:r>
      </w:hyperlink>
      <w:r>
        <w:rPr>
          <w:rStyle w:val="apple-converted-space"/>
          <w:rFonts w:ascii="Verdana" w:hAnsi="Verdana"/>
          <w:i/>
          <w:iCs/>
          <w:color w:val="000000"/>
          <w:sz w:val="18"/>
          <w:szCs w:val="18"/>
        </w:rPr>
        <w:t> </w:t>
      </w:r>
      <w:r>
        <w:rPr>
          <w:rFonts w:ascii="Verdana" w:hAnsi="Verdana"/>
          <w:i/>
          <w:iCs/>
          <w:color w:val="000000"/>
          <w:sz w:val="18"/>
          <w:szCs w:val="18"/>
        </w:rPr>
        <w:t>B.O. 1/4/2009)</w:t>
      </w:r>
    </w:p>
    <w:p w:rsidR="001632EF" w:rsidRDefault="001632EF" w:rsidP="001632EF">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II - DE LAS OBLIGACIONES DE LOS PROPIETARIOS DE HACIENDA</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5º —</w:t>
      </w:r>
      <w:r>
        <w:rPr>
          <w:rStyle w:val="apple-converted-space"/>
          <w:rFonts w:ascii="Verdana" w:hAnsi="Verdana"/>
          <w:color w:val="000000"/>
          <w:sz w:val="18"/>
          <w:szCs w:val="18"/>
        </w:rPr>
        <w:t> </w:t>
      </w:r>
      <w:r>
        <w:rPr>
          <w:rFonts w:ascii="Verdana" w:hAnsi="Verdana"/>
          <w:color w:val="000000"/>
          <w:sz w:val="18"/>
          <w:szCs w:val="18"/>
        </w:rPr>
        <w:t>Es obligatorio para todo propietario de ganado mayor o menor tener registrado a su nombre el diseño que empleare para marcar o señalar, conforme a lo dispuesto en la presente ley.</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Queda prohibido marcar o señalar sin tener registrado el diseño que se emplee, con excepción de la señal que fuera usada como complemento de la marca en el ganado mayor.</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Es obligatorio para todo propietario de ganado porcino tener registrado a su nombre el diseño que empleare para señalar, o el medio alternativo de identificación elegido según lo propuesto por la presente ley y de uso exclusivo para la especie porcina.</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Queda prohibido señalar o identificar el ganado porcino con alguno de los medios alternativos de identificación propuestos exclusivamente para la especie porcina, sin tener registrado el diseño de la señal que se emplee, o el medio alternativo de identificación elegido entre los propuestos por la presente ley.</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6° de la</w:t>
      </w:r>
      <w:r>
        <w:rPr>
          <w:rStyle w:val="apple-converted-space"/>
          <w:rFonts w:ascii="Verdana" w:hAnsi="Verdana"/>
          <w:i/>
          <w:iCs/>
          <w:color w:val="000000"/>
          <w:sz w:val="18"/>
          <w:szCs w:val="18"/>
        </w:rPr>
        <w:t> </w:t>
      </w:r>
      <w:hyperlink r:id="rId10" w:history="1">
        <w:r>
          <w:rPr>
            <w:rStyle w:val="Hipervnculo"/>
            <w:rFonts w:ascii="Verdana" w:hAnsi="Verdana"/>
            <w:i/>
            <w:iCs/>
            <w:sz w:val="18"/>
            <w:szCs w:val="18"/>
          </w:rPr>
          <w:t>Ley N° 26.478</w:t>
        </w:r>
      </w:hyperlink>
      <w:r>
        <w:rPr>
          <w:rStyle w:val="apple-converted-space"/>
          <w:rFonts w:ascii="Verdana" w:hAnsi="Verdana"/>
          <w:i/>
          <w:iCs/>
          <w:color w:val="000000"/>
          <w:sz w:val="18"/>
          <w:szCs w:val="18"/>
        </w:rPr>
        <w:t> </w:t>
      </w:r>
      <w:r>
        <w:rPr>
          <w:rFonts w:ascii="Verdana" w:hAnsi="Verdana"/>
          <w:i/>
          <w:iCs/>
          <w:color w:val="000000"/>
          <w:sz w:val="18"/>
          <w:szCs w:val="18"/>
        </w:rPr>
        <w:t>B.O. 1/4/2009)</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6º —</w:t>
      </w:r>
      <w:r>
        <w:rPr>
          <w:rStyle w:val="apple-converted-space"/>
          <w:rFonts w:ascii="Verdana" w:hAnsi="Verdana"/>
          <w:color w:val="000000"/>
          <w:sz w:val="18"/>
          <w:szCs w:val="18"/>
        </w:rPr>
        <w:t> </w:t>
      </w:r>
      <w:r>
        <w:rPr>
          <w:rFonts w:ascii="Verdana" w:hAnsi="Verdana"/>
          <w:color w:val="000000"/>
          <w:sz w:val="18"/>
          <w:szCs w:val="18"/>
        </w:rPr>
        <w:t>Es obligatorio para todo propietario de hacienda marcar su ganado mayor y señalar su ganado menor. En el ganado porcino se autoriza también el uso de alguno de los otros medios alternativos de identificación animal indicados en el artículo 1º de la presente ley, a elección del propietario del ganado. En los ejemplares de pura raza, la marca o señal podrá ser sustituida por tatuajes o reseñas, según especies.</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7° de la</w:t>
      </w:r>
      <w:r>
        <w:rPr>
          <w:rStyle w:val="apple-converted-space"/>
          <w:rFonts w:ascii="Verdana" w:hAnsi="Verdana"/>
          <w:i/>
          <w:iCs/>
          <w:color w:val="000000"/>
          <w:sz w:val="18"/>
          <w:szCs w:val="18"/>
        </w:rPr>
        <w:t> </w:t>
      </w:r>
      <w:hyperlink r:id="rId11" w:history="1">
        <w:r>
          <w:rPr>
            <w:rStyle w:val="Hipervnculo"/>
            <w:rFonts w:ascii="Verdana" w:hAnsi="Verdana"/>
            <w:i/>
            <w:iCs/>
            <w:sz w:val="18"/>
            <w:szCs w:val="18"/>
          </w:rPr>
          <w:t>Ley N° 26.478</w:t>
        </w:r>
      </w:hyperlink>
      <w:r>
        <w:rPr>
          <w:rStyle w:val="apple-converted-space"/>
          <w:rFonts w:ascii="Verdana" w:hAnsi="Verdana"/>
          <w:i/>
          <w:iCs/>
          <w:color w:val="000000"/>
          <w:sz w:val="18"/>
          <w:szCs w:val="18"/>
        </w:rPr>
        <w:t> </w:t>
      </w:r>
      <w:r>
        <w:rPr>
          <w:rFonts w:ascii="Verdana" w:hAnsi="Verdana"/>
          <w:i/>
          <w:iCs/>
          <w:color w:val="000000"/>
          <w:sz w:val="18"/>
          <w:szCs w:val="18"/>
        </w:rPr>
        <w:t>B.O. 1/4/2009)</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7º —</w:t>
      </w:r>
      <w:r>
        <w:rPr>
          <w:rStyle w:val="apple-converted-space"/>
          <w:rFonts w:ascii="Verdana" w:hAnsi="Verdana"/>
          <w:color w:val="000000"/>
          <w:sz w:val="18"/>
          <w:szCs w:val="18"/>
        </w:rPr>
        <w:t> </w:t>
      </w:r>
      <w:r>
        <w:rPr>
          <w:rFonts w:ascii="Verdana" w:hAnsi="Verdana"/>
          <w:color w:val="000000"/>
          <w:sz w:val="18"/>
          <w:szCs w:val="18"/>
        </w:rPr>
        <w:t>La obligación establecida en el artículo anterior deberá cumplirse en el ganado mayor durante el primer año de vida del animal, y en el ganado menor, a excepción del porcino, antes de llegar a los seis (6) meses de edad. Para el ganado porcino dicha obligación deberá cumplimentarse antes de los cuarenta y cinco (45) días de edad.</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Todo animal de la especie porcina que transite fuera del establecimiento donde ha nacido deberá estar identificado mediante señal o medio alternativo de identificación propuesto exclusivamente para el ganado porcino, aunque no haya alcanzado la edad establecida precedentemente.</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La marca o señal para el ganado en general, y los medios alternativos de identificación propuestos exclusivamente para el ganado porcino, deberán ser aplicados tal como figura en el título previsto en el artículo 4º de esta ley. Las marcas deberán ser aplicadas en idéntica posición, coincidente con la línea vertical.</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8° de la</w:t>
      </w:r>
      <w:r>
        <w:rPr>
          <w:rStyle w:val="apple-converted-space"/>
          <w:rFonts w:ascii="Verdana" w:hAnsi="Verdana"/>
          <w:i/>
          <w:iCs/>
          <w:color w:val="000000"/>
          <w:sz w:val="18"/>
          <w:szCs w:val="18"/>
        </w:rPr>
        <w:t> </w:t>
      </w:r>
      <w:hyperlink r:id="rId12" w:history="1">
        <w:r>
          <w:rPr>
            <w:rStyle w:val="Hipervnculo"/>
            <w:rFonts w:ascii="Verdana" w:hAnsi="Verdana"/>
            <w:i/>
            <w:iCs/>
            <w:sz w:val="18"/>
            <w:szCs w:val="18"/>
          </w:rPr>
          <w:t>Ley N° 26.478</w:t>
        </w:r>
      </w:hyperlink>
      <w:r>
        <w:rPr>
          <w:rStyle w:val="apple-converted-space"/>
          <w:rFonts w:ascii="Verdana" w:hAnsi="Verdana"/>
          <w:i/>
          <w:iCs/>
          <w:color w:val="000000"/>
          <w:sz w:val="18"/>
          <w:szCs w:val="18"/>
        </w:rPr>
        <w:t> </w:t>
      </w:r>
      <w:r>
        <w:rPr>
          <w:rFonts w:ascii="Verdana" w:hAnsi="Verdana"/>
          <w:i/>
          <w:iCs/>
          <w:color w:val="000000"/>
          <w:sz w:val="18"/>
          <w:szCs w:val="18"/>
        </w:rPr>
        <w:t>B.O. 1/4/2009)</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lastRenderedPageBreak/>
        <w:t>ARTICULO 8º —</w:t>
      </w:r>
      <w:r>
        <w:rPr>
          <w:rStyle w:val="apple-converted-space"/>
          <w:rFonts w:ascii="Verdana" w:hAnsi="Verdana"/>
          <w:color w:val="000000"/>
          <w:sz w:val="18"/>
          <w:szCs w:val="18"/>
        </w:rPr>
        <w:t> </w:t>
      </w:r>
      <w:r>
        <w:rPr>
          <w:rFonts w:ascii="Verdana" w:hAnsi="Verdana"/>
          <w:color w:val="000000"/>
          <w:sz w:val="18"/>
          <w:szCs w:val="18"/>
        </w:rPr>
        <w:t>El incumplimiento de las obligaciones establecidas en el presente Título privará al propietario de los animales de los derechos que esta ley le acuerde referentes al régimen de propiedad del ganado, sin perjuicio de las multas que establecieren las legislaciones locales.</w:t>
      </w:r>
    </w:p>
    <w:p w:rsidR="001632EF" w:rsidRDefault="001632EF" w:rsidP="001632EF">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III - DE LA PROPIEDAD DEL GANADO</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9º —</w:t>
      </w:r>
      <w:r>
        <w:rPr>
          <w:rStyle w:val="apple-converted-space"/>
          <w:rFonts w:ascii="Verdana" w:hAnsi="Verdana"/>
          <w:color w:val="000000"/>
          <w:sz w:val="18"/>
          <w:szCs w:val="18"/>
        </w:rPr>
        <w:t> </w:t>
      </w:r>
      <w:r>
        <w:rPr>
          <w:rFonts w:ascii="Verdana" w:hAnsi="Verdana"/>
          <w:color w:val="000000"/>
          <w:sz w:val="18"/>
          <w:szCs w:val="18"/>
        </w:rPr>
        <w:t>Se presume, salvo prueba en contrario, y sin perjuicio de lo dispuesto en el Título IV de la presente ley, que el ganado mayor marcado y el ganado menor señalado, o en el caso exclusivamente del ganado porcino, señalado o identificado con alguno de los medios alternativos descritos en el artículo 1º de la presente ley pertenece a quien tiene registrado a su nombre el diseño de la marca o señal, o medio de identificación alternativo aplicado al animal.</w:t>
      </w:r>
      <w:r>
        <w:rPr>
          <w:rStyle w:val="apple-converted-space"/>
          <w:rFonts w:ascii="Verdana" w:hAnsi="Verdana"/>
          <w:color w:val="000000"/>
          <w:sz w:val="18"/>
          <w:szCs w:val="18"/>
        </w:rPr>
        <w:t> </w:t>
      </w:r>
      <w:r>
        <w:rPr>
          <w:rFonts w:ascii="Verdana" w:hAnsi="Verdana"/>
          <w:i/>
          <w:iCs/>
          <w:color w:val="000000"/>
          <w:sz w:val="18"/>
          <w:szCs w:val="18"/>
        </w:rPr>
        <w:t>(Párrafo sustituido por art. 9° de la</w:t>
      </w:r>
      <w:r>
        <w:rPr>
          <w:rStyle w:val="apple-converted-space"/>
          <w:rFonts w:ascii="Verdana" w:hAnsi="Verdana"/>
          <w:i/>
          <w:iCs/>
          <w:color w:val="000000"/>
          <w:sz w:val="18"/>
          <w:szCs w:val="18"/>
        </w:rPr>
        <w:t> </w:t>
      </w:r>
      <w:hyperlink r:id="rId13" w:history="1">
        <w:r>
          <w:rPr>
            <w:rStyle w:val="Hipervnculo"/>
            <w:rFonts w:ascii="Verdana" w:hAnsi="Verdana"/>
            <w:i/>
            <w:iCs/>
            <w:sz w:val="18"/>
            <w:szCs w:val="18"/>
          </w:rPr>
          <w:t>Ley N° 26.478</w:t>
        </w:r>
      </w:hyperlink>
      <w:r>
        <w:rPr>
          <w:rStyle w:val="apple-converted-space"/>
          <w:rFonts w:ascii="Verdana" w:hAnsi="Verdana"/>
          <w:i/>
          <w:iCs/>
          <w:color w:val="000000"/>
          <w:sz w:val="18"/>
          <w:szCs w:val="18"/>
        </w:rPr>
        <w:t> </w:t>
      </w:r>
      <w:r>
        <w:rPr>
          <w:rFonts w:ascii="Verdana" w:hAnsi="Verdana"/>
          <w:i/>
          <w:iCs/>
          <w:color w:val="000000"/>
          <w:sz w:val="18"/>
          <w:szCs w:val="18"/>
        </w:rPr>
        <w:t>B.O. 1/4/2009)</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Se presume igualmente, salvo prueba en contrario, que las crías no marcadas o señaladas pertenecen al propietario de la madre. Para que esta presunción sea aplicable las crías deberán encontrarse al pie de la madre.</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10. —</w:t>
      </w:r>
      <w:r>
        <w:rPr>
          <w:rStyle w:val="apple-converted-space"/>
          <w:rFonts w:ascii="Verdana" w:hAnsi="Verdana"/>
          <w:color w:val="000000"/>
          <w:sz w:val="18"/>
          <w:szCs w:val="18"/>
        </w:rPr>
        <w:t> </w:t>
      </w:r>
      <w:r>
        <w:rPr>
          <w:rFonts w:ascii="Verdana" w:hAnsi="Verdana"/>
          <w:color w:val="000000"/>
          <w:sz w:val="18"/>
          <w:szCs w:val="18"/>
        </w:rPr>
        <w:t>El poseedor de hacienda orejana y de aquella cuya marca o señal o medio alternativo de identificación propuesto exclusivamente para el ganado porcino no fuere suficientemente clara, quedará sometido en su derecho de propiedad al régimen común de las cosas muebles, sin perjuicio de las sanciones que estableciere la autoridad local.</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10 de la</w:t>
      </w:r>
      <w:r>
        <w:rPr>
          <w:rStyle w:val="apple-converted-space"/>
          <w:rFonts w:ascii="Verdana" w:hAnsi="Verdana"/>
          <w:i/>
          <w:iCs/>
          <w:color w:val="000000"/>
          <w:sz w:val="18"/>
          <w:szCs w:val="18"/>
        </w:rPr>
        <w:t> </w:t>
      </w:r>
      <w:hyperlink r:id="rId14" w:history="1">
        <w:r>
          <w:rPr>
            <w:rStyle w:val="Hipervnculo"/>
            <w:rFonts w:ascii="Verdana" w:hAnsi="Verdana"/>
            <w:i/>
            <w:iCs/>
            <w:sz w:val="18"/>
            <w:szCs w:val="18"/>
          </w:rPr>
          <w:t>Ley N° 26.478</w:t>
        </w:r>
      </w:hyperlink>
      <w:r>
        <w:rPr>
          <w:rStyle w:val="apple-converted-space"/>
          <w:rFonts w:ascii="Verdana" w:hAnsi="Verdana"/>
          <w:i/>
          <w:iCs/>
          <w:color w:val="000000"/>
          <w:sz w:val="18"/>
          <w:szCs w:val="18"/>
        </w:rPr>
        <w:t> </w:t>
      </w:r>
      <w:r>
        <w:rPr>
          <w:rFonts w:ascii="Verdana" w:hAnsi="Verdana"/>
          <w:i/>
          <w:iCs/>
          <w:color w:val="000000"/>
          <w:sz w:val="18"/>
          <w:szCs w:val="18"/>
        </w:rPr>
        <w:t>B.O. 1/4/2009)</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11. —</w:t>
      </w:r>
      <w:r>
        <w:rPr>
          <w:rStyle w:val="apple-converted-space"/>
          <w:rFonts w:ascii="Verdana" w:hAnsi="Verdana"/>
          <w:color w:val="000000"/>
          <w:sz w:val="18"/>
          <w:szCs w:val="18"/>
        </w:rPr>
        <w:t> </w:t>
      </w:r>
      <w:r>
        <w:rPr>
          <w:rFonts w:ascii="Verdana" w:hAnsi="Verdana"/>
          <w:color w:val="000000"/>
          <w:sz w:val="18"/>
          <w:szCs w:val="18"/>
        </w:rPr>
        <w:t>La propiedad de los ejemplares de pura raza se probará por el respectivo certificado de inscripción en los registros genealógicos y selectivos reconocidos, que concuerde con los signos individuales que llevaren los animales.</w:t>
      </w:r>
    </w:p>
    <w:p w:rsidR="001632EF" w:rsidRDefault="001632EF" w:rsidP="001632EF">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IV - DE LA TRANSMISION DE LA PROPIEDAD DEL GANADO</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12. —</w:t>
      </w:r>
      <w:r>
        <w:rPr>
          <w:rStyle w:val="apple-converted-space"/>
          <w:rFonts w:ascii="Verdana" w:hAnsi="Verdana"/>
          <w:color w:val="000000"/>
          <w:sz w:val="18"/>
          <w:szCs w:val="18"/>
        </w:rPr>
        <w:t> </w:t>
      </w:r>
      <w:r>
        <w:rPr>
          <w:rFonts w:ascii="Verdana" w:hAnsi="Verdana"/>
          <w:color w:val="000000"/>
          <w:sz w:val="18"/>
          <w:szCs w:val="18"/>
        </w:rPr>
        <w:t>Todo acto jurídico mediante el cual se transfiera la propiedad de ganado mayor o menor, deberá instrumentarse con un certificado de adquisición que, otorgado por las partes, será autenticado por la autoridad local competente.</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13. —</w:t>
      </w:r>
      <w:r>
        <w:rPr>
          <w:rStyle w:val="apple-converted-space"/>
          <w:rFonts w:ascii="Verdana" w:hAnsi="Verdana"/>
          <w:color w:val="000000"/>
          <w:sz w:val="18"/>
          <w:szCs w:val="18"/>
        </w:rPr>
        <w:t> </w:t>
      </w:r>
      <w:r>
        <w:rPr>
          <w:rFonts w:ascii="Verdana" w:hAnsi="Verdana"/>
          <w:color w:val="000000"/>
          <w:sz w:val="18"/>
          <w:szCs w:val="18"/>
        </w:rPr>
        <w:t>El certificado a que se refiere el artículo anterior, deberá contener:</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a) Lugar y fecha de emisión.</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 Nombre y apellido de las partes y en su caso de sus representantes, sus domicilios y la mención de los documentos de identidad.</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lastRenderedPageBreak/>
        <w:t>c) Especificación del tipo de operación de que se trata, matrícula del título de la marca, señal o medio alternativo de identificación propuesto exclusivamente para el ganado porcino, y diseño de éstos o el tatuaje de la reseña correspondientes en los animales de raza.</w:t>
      </w:r>
      <w:r>
        <w:rPr>
          <w:rStyle w:val="apple-converted-space"/>
          <w:rFonts w:ascii="Verdana" w:hAnsi="Verdana"/>
          <w:color w:val="000000"/>
          <w:sz w:val="18"/>
          <w:szCs w:val="18"/>
        </w:rPr>
        <w:t> </w:t>
      </w:r>
      <w:r>
        <w:rPr>
          <w:rFonts w:ascii="Verdana" w:hAnsi="Verdana"/>
          <w:i/>
          <w:iCs/>
          <w:color w:val="000000"/>
          <w:sz w:val="18"/>
          <w:szCs w:val="18"/>
        </w:rPr>
        <w:t>(Inciso sustituido por art. 11 de la</w:t>
      </w:r>
      <w:r>
        <w:rPr>
          <w:rStyle w:val="apple-converted-space"/>
          <w:rFonts w:ascii="Verdana" w:hAnsi="Verdana"/>
          <w:i/>
          <w:iCs/>
          <w:color w:val="000000"/>
          <w:sz w:val="18"/>
          <w:szCs w:val="18"/>
        </w:rPr>
        <w:t> </w:t>
      </w:r>
      <w:hyperlink r:id="rId15" w:history="1">
        <w:r>
          <w:rPr>
            <w:rStyle w:val="Hipervnculo"/>
            <w:rFonts w:ascii="Verdana" w:hAnsi="Verdana"/>
            <w:i/>
            <w:iCs/>
            <w:sz w:val="18"/>
            <w:szCs w:val="18"/>
          </w:rPr>
          <w:t>Ley N° 26.478</w:t>
        </w:r>
      </w:hyperlink>
      <w:r>
        <w:rPr>
          <w:rStyle w:val="apple-converted-space"/>
          <w:rFonts w:ascii="Verdana" w:hAnsi="Verdana"/>
          <w:i/>
          <w:iCs/>
          <w:color w:val="000000"/>
          <w:sz w:val="18"/>
          <w:szCs w:val="18"/>
        </w:rPr>
        <w:t> </w:t>
      </w:r>
      <w:r>
        <w:rPr>
          <w:rFonts w:ascii="Verdana" w:hAnsi="Verdana"/>
          <w:i/>
          <w:iCs/>
          <w:color w:val="000000"/>
          <w:sz w:val="18"/>
          <w:szCs w:val="18"/>
        </w:rPr>
        <w:t>B.O. 1/4/2009)</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proofErr w:type="gramStart"/>
      <w:r>
        <w:rPr>
          <w:rFonts w:ascii="Verdana" w:hAnsi="Verdana"/>
          <w:color w:val="000000"/>
          <w:sz w:val="18"/>
          <w:szCs w:val="18"/>
        </w:rPr>
        <w:t>ch</w:t>
      </w:r>
      <w:proofErr w:type="gramEnd"/>
      <w:r>
        <w:rPr>
          <w:rFonts w:ascii="Verdana" w:hAnsi="Verdana"/>
          <w:color w:val="000000"/>
          <w:sz w:val="18"/>
          <w:szCs w:val="18"/>
        </w:rPr>
        <w:t>) Especificación de la cantidad de animales comprendidos en la operación, con indicación de su sexo y especie.</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d) Firma del transmitente o de su representante, y si no pudiere o no supiere firmar, la firma a ruego de otra persona, junto con la impresión digital del que no pudiere o no supiere firmar. La firma del transmitente podrá ser suplida por la del consignatario.</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e) Firma y sello del oficial público competente que autenticare el certificado.</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14. —</w:t>
      </w:r>
      <w:r>
        <w:rPr>
          <w:rStyle w:val="apple-converted-space"/>
          <w:rFonts w:ascii="Verdana" w:hAnsi="Verdana"/>
          <w:color w:val="000000"/>
          <w:sz w:val="18"/>
          <w:szCs w:val="18"/>
        </w:rPr>
        <w:t> </w:t>
      </w:r>
      <w:r>
        <w:rPr>
          <w:rFonts w:ascii="Verdana" w:hAnsi="Verdana"/>
          <w:color w:val="000000"/>
          <w:sz w:val="18"/>
          <w:szCs w:val="18"/>
        </w:rPr>
        <w:t>La transmisión de dominio de los animales de pura raza, podrá perfeccionarse mediante acuerdo de partes por la inscripción del acto en los registros genealógicos y selectivos, a que se refiere el artículo 11.</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15. —</w:t>
      </w:r>
      <w:r>
        <w:rPr>
          <w:rStyle w:val="apple-converted-space"/>
          <w:rFonts w:ascii="Verdana" w:hAnsi="Verdana"/>
          <w:color w:val="000000"/>
          <w:sz w:val="18"/>
          <w:szCs w:val="18"/>
        </w:rPr>
        <w:t> </w:t>
      </w:r>
      <w:r>
        <w:rPr>
          <w:rFonts w:ascii="Verdana" w:hAnsi="Verdana"/>
          <w:color w:val="000000"/>
          <w:sz w:val="18"/>
          <w:szCs w:val="18"/>
        </w:rPr>
        <w:t>La intervención del oficial público no subsane las nulidades o vicios que pudieren afectar el acto de transmisión.</w:t>
      </w:r>
    </w:p>
    <w:p w:rsidR="001632EF" w:rsidRDefault="001632EF" w:rsidP="001632EF">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V - DE LAS GUIAS</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16. —</w:t>
      </w:r>
      <w:r>
        <w:rPr>
          <w:rStyle w:val="apple-converted-space"/>
          <w:rFonts w:ascii="Verdana" w:hAnsi="Verdana"/>
          <w:color w:val="000000"/>
          <w:sz w:val="18"/>
          <w:szCs w:val="18"/>
        </w:rPr>
        <w:t> </w:t>
      </w:r>
      <w:r>
        <w:rPr>
          <w:rFonts w:ascii="Verdana" w:hAnsi="Verdana"/>
          <w:color w:val="000000"/>
          <w:sz w:val="18"/>
          <w:szCs w:val="18"/>
        </w:rPr>
        <w:t>Para la licitud del tránsito de ganado, es obligatorio el uso de guía, expedida en la forma que establezcan las disposiciones locales. La validez de la guía y su régimen, serán juzgados de acuerdo a las leyes de la provincia en que fuera emitida.</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17. —</w:t>
      </w:r>
      <w:r>
        <w:rPr>
          <w:rStyle w:val="apple-converted-space"/>
          <w:rFonts w:ascii="Verdana" w:hAnsi="Verdana"/>
          <w:color w:val="000000"/>
          <w:sz w:val="18"/>
          <w:szCs w:val="18"/>
        </w:rPr>
        <w:t> </w:t>
      </w:r>
      <w:r>
        <w:rPr>
          <w:rFonts w:ascii="Verdana" w:hAnsi="Verdana"/>
          <w:color w:val="000000"/>
          <w:sz w:val="18"/>
          <w:szCs w:val="18"/>
        </w:rPr>
        <w:t>Cuando se trate de animales de pedigrí o puros registrados que no tuviesen marca o señal o medio alternativo de identificación propuesto exclusivamente para el ganado porcino, las guías que por ellos se extiendan deberán mencionar esa circunstancia y suministrar los datos que puedan contribuir a individualizar cada animal. En todos los casos deberá acreditarse la propiedad de dichos animales.</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t>(Artículo sustituido por art. 12 de la</w:t>
      </w:r>
      <w:r>
        <w:rPr>
          <w:rStyle w:val="apple-converted-space"/>
          <w:rFonts w:ascii="Verdana" w:hAnsi="Verdana"/>
          <w:i/>
          <w:iCs/>
          <w:color w:val="000000"/>
          <w:sz w:val="18"/>
          <w:szCs w:val="18"/>
        </w:rPr>
        <w:t> </w:t>
      </w:r>
      <w:hyperlink r:id="rId16" w:history="1">
        <w:r>
          <w:rPr>
            <w:rStyle w:val="Hipervnculo"/>
            <w:rFonts w:ascii="Verdana" w:hAnsi="Verdana"/>
            <w:i/>
            <w:iCs/>
            <w:sz w:val="18"/>
            <w:szCs w:val="18"/>
          </w:rPr>
          <w:t>Ley N° 26.478</w:t>
        </w:r>
      </w:hyperlink>
      <w:r>
        <w:rPr>
          <w:rStyle w:val="apple-converted-space"/>
          <w:rFonts w:ascii="Verdana" w:hAnsi="Verdana"/>
          <w:i/>
          <w:iCs/>
          <w:color w:val="000000"/>
          <w:sz w:val="18"/>
          <w:szCs w:val="18"/>
        </w:rPr>
        <w:t> </w:t>
      </w:r>
      <w:r>
        <w:rPr>
          <w:rFonts w:ascii="Verdana" w:hAnsi="Verdana"/>
          <w:i/>
          <w:iCs/>
          <w:color w:val="000000"/>
          <w:sz w:val="18"/>
          <w:szCs w:val="18"/>
        </w:rPr>
        <w:t>B.O. 1/4/2009)</w:t>
      </w:r>
    </w:p>
    <w:p w:rsidR="001632EF" w:rsidRDefault="001632EF" w:rsidP="001632EF">
      <w:pPr>
        <w:pStyle w:val="NormalWeb"/>
        <w:spacing w:before="150" w:beforeAutospacing="0" w:after="300" w:afterAutospacing="0"/>
        <w:ind w:left="600" w:right="600"/>
        <w:jc w:val="center"/>
        <w:rPr>
          <w:rFonts w:ascii="Verdana" w:hAnsi="Verdana"/>
          <w:b/>
          <w:bCs/>
          <w:color w:val="000000"/>
          <w:sz w:val="18"/>
          <w:szCs w:val="18"/>
        </w:rPr>
      </w:pPr>
      <w:r>
        <w:rPr>
          <w:rFonts w:ascii="Verdana" w:hAnsi="Verdana"/>
          <w:b/>
          <w:bCs/>
          <w:color w:val="000000"/>
          <w:sz w:val="18"/>
          <w:szCs w:val="18"/>
        </w:rPr>
        <w:t>TITULO VI - DISPOSICIONES GENERALES</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18. —</w:t>
      </w:r>
      <w:r>
        <w:rPr>
          <w:rStyle w:val="apple-converted-space"/>
          <w:rFonts w:ascii="Verdana" w:hAnsi="Verdana"/>
          <w:color w:val="000000"/>
          <w:sz w:val="18"/>
          <w:szCs w:val="18"/>
        </w:rPr>
        <w:t> </w:t>
      </w:r>
      <w:r>
        <w:rPr>
          <w:rFonts w:ascii="Verdana" w:hAnsi="Verdana"/>
          <w:color w:val="000000"/>
          <w:sz w:val="18"/>
          <w:szCs w:val="18"/>
        </w:rPr>
        <w:t>El Poder Ejecutivo nacional promoverá la formalización de convenios con los gobiernos provinciales para la obtención de un régimen uniforme en materia de marcas y señales del ganado en general, de los medios alternativos de identificación animal para la especie porcina y de la documentación a que se refiere la presente ley.</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i/>
          <w:iCs/>
          <w:color w:val="000000"/>
          <w:sz w:val="18"/>
          <w:szCs w:val="18"/>
        </w:rPr>
        <w:lastRenderedPageBreak/>
        <w:t>(Artículo sustituido por art. 13 de la</w:t>
      </w:r>
      <w:r>
        <w:rPr>
          <w:rStyle w:val="apple-converted-space"/>
          <w:rFonts w:ascii="Verdana" w:hAnsi="Verdana"/>
          <w:i/>
          <w:iCs/>
          <w:color w:val="000000"/>
          <w:sz w:val="18"/>
          <w:szCs w:val="18"/>
        </w:rPr>
        <w:t> </w:t>
      </w:r>
      <w:hyperlink r:id="rId17" w:history="1">
        <w:r>
          <w:rPr>
            <w:rStyle w:val="Hipervnculo"/>
            <w:rFonts w:ascii="Verdana" w:hAnsi="Verdana"/>
            <w:i/>
            <w:iCs/>
            <w:sz w:val="18"/>
            <w:szCs w:val="18"/>
          </w:rPr>
          <w:t>Ley N° 26.478</w:t>
        </w:r>
      </w:hyperlink>
      <w:r>
        <w:rPr>
          <w:rStyle w:val="apple-converted-space"/>
          <w:rFonts w:ascii="Verdana" w:hAnsi="Verdana"/>
          <w:i/>
          <w:iCs/>
          <w:color w:val="000000"/>
          <w:sz w:val="18"/>
          <w:szCs w:val="18"/>
        </w:rPr>
        <w:t> </w:t>
      </w:r>
      <w:r>
        <w:rPr>
          <w:rFonts w:ascii="Verdana" w:hAnsi="Verdana"/>
          <w:i/>
          <w:iCs/>
          <w:color w:val="000000"/>
          <w:sz w:val="18"/>
          <w:szCs w:val="18"/>
        </w:rPr>
        <w:t>B.O. 1/4/2009)</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19. —</w:t>
      </w:r>
      <w:r>
        <w:rPr>
          <w:rStyle w:val="apple-converted-space"/>
          <w:rFonts w:ascii="Verdana" w:hAnsi="Verdana"/>
          <w:color w:val="000000"/>
          <w:sz w:val="18"/>
          <w:szCs w:val="18"/>
        </w:rPr>
        <w:t> </w:t>
      </w:r>
      <w:r>
        <w:rPr>
          <w:rFonts w:ascii="Verdana" w:hAnsi="Verdana"/>
          <w:color w:val="000000"/>
          <w:sz w:val="18"/>
          <w:szCs w:val="18"/>
        </w:rPr>
        <w:t>La presente ley tiene vigencia en todo el territorio de la República. Quedan excluidos de sus disposiciones los casos que prevé la Ley Nº 20.378.</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b/>
          <w:bCs/>
          <w:color w:val="000000"/>
          <w:sz w:val="18"/>
          <w:szCs w:val="18"/>
        </w:rPr>
        <w:t>ARTICULO 20. —</w:t>
      </w:r>
      <w:r>
        <w:rPr>
          <w:rStyle w:val="apple-converted-space"/>
          <w:rFonts w:ascii="Verdana" w:hAnsi="Verdana"/>
          <w:color w:val="000000"/>
          <w:sz w:val="18"/>
          <w:szCs w:val="18"/>
        </w:rPr>
        <w:t> </w:t>
      </w:r>
      <w:r>
        <w:rPr>
          <w:rFonts w:ascii="Verdana" w:hAnsi="Verdana"/>
          <w:color w:val="000000"/>
          <w:sz w:val="18"/>
          <w:szCs w:val="18"/>
        </w:rPr>
        <w:t xml:space="preserve">Comuníquese, publíquese, </w:t>
      </w:r>
      <w:proofErr w:type="spellStart"/>
      <w:r>
        <w:rPr>
          <w:rFonts w:ascii="Verdana" w:hAnsi="Verdana"/>
          <w:color w:val="000000"/>
          <w:sz w:val="18"/>
          <w:szCs w:val="18"/>
        </w:rPr>
        <w:t>dése</w:t>
      </w:r>
      <w:proofErr w:type="spellEnd"/>
      <w:r>
        <w:rPr>
          <w:rFonts w:ascii="Verdana" w:hAnsi="Verdana"/>
          <w:color w:val="000000"/>
          <w:sz w:val="18"/>
          <w:szCs w:val="18"/>
        </w:rPr>
        <w:t xml:space="preserve"> a la Dirección Nacional del Registro Oficial y archívese.</w:t>
      </w:r>
    </w:p>
    <w:p w:rsidR="001632EF" w:rsidRDefault="001632EF" w:rsidP="001632EF">
      <w:pPr>
        <w:pStyle w:val="NormalWeb"/>
        <w:spacing w:before="150" w:beforeAutospacing="0" w:after="300" w:afterAutospacing="0"/>
        <w:ind w:left="600" w:right="600"/>
        <w:jc w:val="both"/>
        <w:rPr>
          <w:rFonts w:ascii="Verdana" w:hAnsi="Verdana"/>
          <w:color w:val="000000"/>
          <w:sz w:val="18"/>
          <w:szCs w:val="18"/>
        </w:rPr>
      </w:pPr>
      <w:r>
        <w:rPr>
          <w:rFonts w:ascii="Verdana" w:hAnsi="Verdana"/>
          <w:color w:val="000000"/>
          <w:sz w:val="18"/>
          <w:szCs w:val="18"/>
        </w:rPr>
        <w:t>BIGNONE</w:t>
      </w:r>
    </w:p>
    <w:p w:rsidR="001632EF" w:rsidRDefault="001632EF" w:rsidP="001632EF">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 xml:space="preserve">Jorge </w:t>
      </w:r>
      <w:proofErr w:type="spellStart"/>
      <w:r>
        <w:rPr>
          <w:rFonts w:ascii="Verdana" w:hAnsi="Verdana"/>
          <w:b/>
          <w:bCs/>
          <w:color w:val="000000"/>
          <w:sz w:val="18"/>
          <w:szCs w:val="18"/>
        </w:rPr>
        <w:t>Wehbe</w:t>
      </w:r>
      <w:proofErr w:type="spellEnd"/>
    </w:p>
    <w:p w:rsidR="001632EF" w:rsidRDefault="001632EF" w:rsidP="001632EF">
      <w:pPr>
        <w:pStyle w:val="NormalWeb"/>
        <w:spacing w:before="150" w:beforeAutospacing="0" w:after="300" w:afterAutospacing="0"/>
        <w:ind w:left="600" w:right="600"/>
        <w:rPr>
          <w:rFonts w:ascii="Verdana" w:hAnsi="Verdana"/>
          <w:b/>
          <w:bCs/>
          <w:color w:val="000000"/>
          <w:sz w:val="18"/>
          <w:szCs w:val="18"/>
        </w:rPr>
      </w:pPr>
      <w:proofErr w:type="spellStart"/>
      <w:r>
        <w:rPr>
          <w:rFonts w:ascii="Verdana" w:hAnsi="Verdana"/>
          <w:b/>
          <w:bCs/>
          <w:color w:val="000000"/>
          <w:sz w:val="18"/>
          <w:szCs w:val="18"/>
        </w:rPr>
        <w:t>Llamil</w:t>
      </w:r>
      <w:proofErr w:type="spellEnd"/>
      <w:r>
        <w:rPr>
          <w:rFonts w:ascii="Verdana" w:hAnsi="Verdana"/>
          <w:b/>
          <w:bCs/>
          <w:color w:val="000000"/>
          <w:sz w:val="18"/>
          <w:szCs w:val="18"/>
        </w:rPr>
        <w:t xml:space="preserve"> </w:t>
      </w:r>
      <w:proofErr w:type="spellStart"/>
      <w:r>
        <w:rPr>
          <w:rFonts w:ascii="Verdana" w:hAnsi="Verdana"/>
          <w:b/>
          <w:bCs/>
          <w:color w:val="000000"/>
          <w:sz w:val="18"/>
          <w:szCs w:val="18"/>
        </w:rPr>
        <w:t>Reston</w:t>
      </w:r>
      <w:proofErr w:type="spellEnd"/>
    </w:p>
    <w:p w:rsidR="001632EF" w:rsidRDefault="001632EF" w:rsidP="001632EF">
      <w:pPr>
        <w:pStyle w:val="NormalWeb"/>
        <w:spacing w:before="150" w:beforeAutospacing="0" w:after="300" w:afterAutospacing="0"/>
        <w:ind w:left="600" w:right="600"/>
        <w:rPr>
          <w:rFonts w:ascii="Verdana" w:hAnsi="Verdana"/>
          <w:b/>
          <w:bCs/>
          <w:color w:val="000000"/>
          <w:sz w:val="18"/>
          <w:szCs w:val="18"/>
        </w:rPr>
      </w:pPr>
      <w:r>
        <w:rPr>
          <w:rFonts w:ascii="Verdana" w:hAnsi="Verdana"/>
          <w:b/>
          <w:bCs/>
          <w:color w:val="000000"/>
          <w:sz w:val="18"/>
          <w:szCs w:val="18"/>
        </w:rPr>
        <w:t>Lucas J. Lennon</w:t>
      </w:r>
    </w:p>
    <w:p w:rsidR="00C341D6" w:rsidRDefault="00C341D6"/>
    <w:sectPr w:rsidR="00C341D6" w:rsidSect="0086487B">
      <w:pgSz w:w="11906" w:h="16838" w:code="9"/>
      <w:pgMar w:top="2835" w:right="1701" w:bottom="28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632EF"/>
    <w:rsid w:val="00101D08"/>
    <w:rsid w:val="001632EF"/>
    <w:rsid w:val="0086487B"/>
    <w:rsid w:val="00C341D6"/>
    <w:rsid w:val="00FC22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CF8BF-AE3A-409B-B865-9216895C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1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32EF"/>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1632EF"/>
  </w:style>
  <w:style w:type="character" w:styleId="Hipervnculo">
    <w:name w:val="Hyperlink"/>
    <w:basedOn w:val="Fuentedeprrafopredeter"/>
    <w:uiPriority w:val="99"/>
    <w:unhideWhenUsed/>
    <w:rsid w:val="001632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852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leg.gob.ar/infolegInternet/verNorma.do?id=151912" TargetMode="External"/><Relationship Id="rId13" Type="http://schemas.openxmlformats.org/officeDocument/2006/relationships/hyperlink" Target="http://www.infoleg.gob.ar/infolegInternet/verNorma.do?id=151912"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nfoleg.gob.ar/infolegInternet/verNorma.do?id=151912" TargetMode="External"/><Relationship Id="rId12" Type="http://schemas.openxmlformats.org/officeDocument/2006/relationships/hyperlink" Target="http://www.infoleg.gob.ar/infolegInternet/verNorma.do?id=151912" TargetMode="External"/><Relationship Id="rId17" Type="http://schemas.openxmlformats.org/officeDocument/2006/relationships/hyperlink" Target="http://www.infoleg.gob.ar/infolegInternet/verNorma.do?id=151912" TargetMode="External"/><Relationship Id="rId2" Type="http://schemas.openxmlformats.org/officeDocument/2006/relationships/settings" Target="settings.xml"/><Relationship Id="rId16" Type="http://schemas.openxmlformats.org/officeDocument/2006/relationships/hyperlink" Target="http://www.infoleg.gob.ar/infolegInternet/verNorma.do?id=151912" TargetMode="External"/><Relationship Id="rId1" Type="http://schemas.openxmlformats.org/officeDocument/2006/relationships/styles" Target="styles.xml"/><Relationship Id="rId6" Type="http://schemas.openxmlformats.org/officeDocument/2006/relationships/hyperlink" Target="http://www.infoleg.gob.ar/infolegInternet/verNorma.do?id=151912" TargetMode="External"/><Relationship Id="rId11" Type="http://schemas.openxmlformats.org/officeDocument/2006/relationships/hyperlink" Target="http://www.infoleg.gob.ar/infolegInternet/verNorma.do?id=151912" TargetMode="External"/><Relationship Id="rId5" Type="http://schemas.openxmlformats.org/officeDocument/2006/relationships/hyperlink" Target="http://www.infoleg.gob.ar/infolegInternet/verNorma.do?id=151912" TargetMode="External"/><Relationship Id="rId15" Type="http://schemas.openxmlformats.org/officeDocument/2006/relationships/hyperlink" Target="http://www.infoleg.gob.ar/infolegInternet/verNorma.do?id=151912" TargetMode="External"/><Relationship Id="rId10" Type="http://schemas.openxmlformats.org/officeDocument/2006/relationships/hyperlink" Target="http://www.infoleg.gob.ar/infolegInternet/verNorma.do?id=151912" TargetMode="External"/><Relationship Id="rId19" Type="http://schemas.openxmlformats.org/officeDocument/2006/relationships/theme" Target="theme/theme1.xml"/><Relationship Id="rId4" Type="http://schemas.openxmlformats.org/officeDocument/2006/relationships/hyperlink" Target="http://www.infoleg.gov.ar" TargetMode="External"/><Relationship Id="rId9" Type="http://schemas.openxmlformats.org/officeDocument/2006/relationships/hyperlink" Target="http://www.infoleg.gob.ar/infolegInternet/verNorma.do?id=151912" TargetMode="External"/><Relationship Id="rId14" Type="http://schemas.openxmlformats.org/officeDocument/2006/relationships/hyperlink" Target="http://www.infoleg.gob.ar/infolegInternet/verNorma.do?id=1519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1865</Words>
  <Characters>10261</Characters>
  <Application>Microsoft Office Word</Application>
  <DocSecurity>0</DocSecurity>
  <Lines>85</Lines>
  <Paragraphs>24</Paragraphs>
  <ScaleCrop>false</ScaleCrop>
  <Company>Hewlett-Packard Company</Company>
  <LinksUpToDate>false</LinksUpToDate>
  <CharactersWithSpaces>12102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amartinez</dc:creator>
  <cp:lastModifiedBy>silvina pazos</cp:lastModifiedBy>
  <cp:revision>2</cp:revision>
  <dcterms:created xsi:type="dcterms:W3CDTF">2017-03-13T12:56:00Z</dcterms:created>
  <dcterms:modified xsi:type="dcterms:W3CDTF">2017-03-15T12:47:00Z</dcterms:modified>
</cp:coreProperties>
</file>